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blCellSpacing w:w="0" w:type="dxa"/>
        </w:trPr>
        <w:tc>
          <w:tcPr>
            <w:tcW w:w="8306" w:type="dxa"/>
            <w:vAlign w:val="top"/>
          </w:tcPr>
          <w:p>
            <w:pPr>
              <w:widowControl/>
              <w:jc w:val="center"/>
              <w:rPr>
                <w:rFonts w:ascii="仿宋_GB2312" w:hAnsi="宋体" w:eastAsia="仿宋_GB2312" w:cs="宋体"/>
                <w:b/>
                <w:bCs/>
                <w:color w:val="000000"/>
                <w:kern w:val="0"/>
                <w:sz w:val="36"/>
              </w:rPr>
            </w:pPr>
            <w:r>
              <w:rPr>
                <w:rFonts w:hint="eastAsia" w:ascii="仿宋_GB2312" w:hAnsi="宋体" w:eastAsia="仿宋_GB2312" w:cs="宋体"/>
                <w:b/>
                <w:bCs/>
                <w:color w:val="000000"/>
                <w:kern w:val="0"/>
                <w:sz w:val="36"/>
                <w:lang w:val="en-US" w:eastAsia="zh-CN"/>
              </w:rPr>
              <w:t xml:space="preserve"> 化</w:t>
            </w:r>
            <w:r>
              <w:rPr>
                <w:rFonts w:hint="eastAsia" w:ascii="仿宋_GB2312" w:hAnsi="宋体" w:eastAsia="仿宋_GB2312" w:cs="宋体"/>
                <w:b/>
                <w:bCs/>
                <w:color w:val="000000"/>
                <w:kern w:val="0"/>
                <w:sz w:val="36"/>
              </w:rPr>
              <w:t>学与分子工程学院</w:t>
            </w:r>
          </w:p>
          <w:p>
            <w:pPr>
              <w:widowControl/>
              <w:jc w:val="center"/>
              <w:rPr>
                <w:rFonts w:ascii="宋体" w:hAnsi="宋体" w:eastAsia="宋体" w:cs="宋体"/>
                <w:color w:val="000000"/>
                <w:kern w:val="0"/>
                <w:sz w:val="18"/>
                <w:szCs w:val="18"/>
              </w:rPr>
            </w:pPr>
            <w:r>
              <w:rPr>
                <w:rFonts w:ascii="仿宋_GB2312" w:hAnsi="宋体" w:eastAsia="仿宋_GB2312" w:cs="宋体"/>
                <w:b/>
                <w:bCs/>
                <w:color w:val="000000"/>
                <w:kern w:val="0"/>
                <w:sz w:val="36"/>
              </w:rPr>
              <w:t>201</w:t>
            </w:r>
            <w:r>
              <w:rPr>
                <w:rFonts w:hint="eastAsia" w:ascii="仿宋_GB2312" w:hAnsi="宋体" w:eastAsia="仿宋_GB2312" w:cs="宋体"/>
                <w:b/>
                <w:bCs/>
                <w:color w:val="000000"/>
                <w:kern w:val="0"/>
                <w:sz w:val="36"/>
                <w:lang w:val="en-US" w:eastAsia="zh-CN"/>
              </w:rPr>
              <w:t>9</w:t>
            </w:r>
            <w:r>
              <w:rPr>
                <w:rFonts w:ascii="仿宋_GB2312" w:hAnsi="宋体" w:eastAsia="仿宋_GB2312" w:cs="宋体"/>
                <w:b/>
                <w:bCs/>
                <w:color w:val="000000"/>
                <w:kern w:val="0"/>
                <w:sz w:val="36"/>
              </w:rPr>
              <w:t>年招收推荐免试攻读硕士学位研究生章程</w:t>
            </w:r>
          </w:p>
        </w:tc>
      </w:tr>
    </w:tbl>
    <w:p>
      <w:pPr>
        <w:widowControl/>
        <w:adjustRightInd w:val="0"/>
        <w:snapToGrid w:val="0"/>
        <w:spacing w:line="360" w:lineRule="auto"/>
        <w:jc w:val="left"/>
        <w:rPr>
          <w:rFonts w:ascii="宋体" w:hAnsi="宋体"/>
          <w:kern w:val="0"/>
          <w:sz w:val="24"/>
          <w:szCs w:val="24"/>
        </w:rPr>
      </w:pPr>
    </w:p>
    <w:p>
      <w:pPr>
        <w:widowControl/>
        <w:adjustRightInd w:val="0"/>
        <w:snapToGrid w:val="0"/>
        <w:spacing w:line="360" w:lineRule="auto"/>
        <w:jc w:val="left"/>
        <w:rPr>
          <w:rFonts w:asciiTheme="minorEastAsia" w:hAnsiTheme="minorEastAsia"/>
          <w:b/>
          <w:kern w:val="0"/>
          <w:sz w:val="24"/>
          <w:szCs w:val="24"/>
        </w:rPr>
      </w:pPr>
      <w:r>
        <w:rPr>
          <w:rFonts w:hint="eastAsia" w:asciiTheme="minorEastAsia" w:hAnsiTheme="minorEastAsia"/>
          <w:b/>
          <w:kern w:val="0"/>
          <w:sz w:val="24"/>
          <w:szCs w:val="24"/>
        </w:rPr>
        <w:t>【学院简介】</w:t>
      </w:r>
    </w:p>
    <w:p>
      <w:pPr>
        <w:widowControl/>
        <w:adjustRightInd w:val="0"/>
        <w:snapToGrid w:val="0"/>
        <w:spacing w:line="360" w:lineRule="auto"/>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南京工业大学化学与分子工程学院成立于2015年4月，由南京工业大学理学院应用化学系和化学化工学院化学系合并组建而成。原应用化学系成立于</w:t>
      </w:r>
      <w:bookmarkStart w:id="0" w:name="_GoBack"/>
      <w:bookmarkEnd w:id="0"/>
      <w:r>
        <w:rPr>
          <w:rFonts w:cs="Times New Roman" w:asciiTheme="minorEastAsia" w:hAnsiTheme="minorEastAsia"/>
          <w:kern w:val="0"/>
          <w:sz w:val="24"/>
          <w:szCs w:val="24"/>
        </w:rPr>
        <w:t>1983</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年，原化学系成立于20</w:t>
      </w:r>
      <w:r>
        <w:rPr>
          <w:rFonts w:hint="eastAsia" w:cs="Times New Roman" w:asciiTheme="minorEastAsia" w:hAnsiTheme="minorEastAsia"/>
          <w:kern w:val="0"/>
          <w:sz w:val="24"/>
          <w:szCs w:val="24"/>
        </w:rPr>
        <w:t>03</w:t>
      </w:r>
      <w:r>
        <w:rPr>
          <w:rFonts w:cs="Times New Roman" w:asciiTheme="minorEastAsia" w:hAnsiTheme="minorEastAsia"/>
          <w:kern w:val="0"/>
          <w:sz w:val="24"/>
          <w:szCs w:val="24"/>
        </w:rPr>
        <w:t>年。</w:t>
      </w:r>
    </w:p>
    <w:p>
      <w:pPr>
        <w:widowControl/>
        <w:adjustRightInd w:val="0"/>
        <w:snapToGrid w:val="0"/>
        <w:spacing w:line="360" w:lineRule="auto"/>
        <w:ind w:firstLine="480" w:firstLineChars="200"/>
        <w:jc w:val="left"/>
        <w:rPr>
          <w:rFonts w:cs="宋体" w:asciiTheme="minorEastAsia" w:hAnsiTheme="minorEastAsia"/>
          <w:bCs/>
          <w:sz w:val="24"/>
          <w:szCs w:val="24"/>
        </w:rPr>
      </w:pPr>
      <w:r>
        <w:rPr>
          <w:rFonts w:hint="eastAsia" w:asciiTheme="minorEastAsia" w:hAnsiTheme="minorEastAsia"/>
          <w:kern w:val="0"/>
          <w:sz w:val="24"/>
          <w:szCs w:val="24"/>
        </w:rPr>
        <w:t>学院下设应用化学系、</w:t>
      </w:r>
      <w:r>
        <w:rPr>
          <w:rFonts w:hint="eastAsia" w:cs="宋体" w:asciiTheme="minorEastAsia" w:hAnsiTheme="minorEastAsia"/>
          <w:bCs/>
          <w:sz w:val="24"/>
          <w:szCs w:val="24"/>
        </w:rPr>
        <w:t>化学实验教学中心（国家实验教学示范中心建设点、省级基础课实验教学示范中心），应用化学、水处理技术、有机合成化学等3个研究所，</w:t>
      </w:r>
      <w:r>
        <w:rPr>
          <w:rFonts w:cs="宋体" w:asciiTheme="minorEastAsia" w:hAnsiTheme="minorEastAsia"/>
          <w:bCs/>
          <w:sz w:val="24"/>
          <w:szCs w:val="24"/>
        </w:rPr>
        <w:t>现有学生</w:t>
      </w:r>
      <w:r>
        <w:rPr>
          <w:rFonts w:hint="eastAsia" w:cs="宋体" w:asciiTheme="minorEastAsia" w:hAnsiTheme="minorEastAsia"/>
          <w:bCs/>
          <w:sz w:val="24"/>
          <w:szCs w:val="24"/>
        </w:rPr>
        <w:t>1000余</w:t>
      </w:r>
      <w:r>
        <w:rPr>
          <w:rFonts w:cs="宋体" w:asciiTheme="minorEastAsia" w:hAnsiTheme="minorEastAsia"/>
          <w:bCs/>
          <w:sz w:val="24"/>
          <w:szCs w:val="24"/>
        </w:rPr>
        <w:t>人。</w:t>
      </w:r>
    </w:p>
    <w:p>
      <w:pPr>
        <w:adjustRightInd w:val="0"/>
        <w:snapToGrid w:val="0"/>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学院拥有应用化学、资源科学与工程2个博士点，化学一级学科硕士点1个，应用化学（国家重点学科）、有机化学、分析化学、农药化学、资源科学与工程等5个二级学科硕士点，以及化学工程（应用化学方向）领域工程硕士点。</w:t>
      </w:r>
      <w:r>
        <w:rPr>
          <w:rFonts w:hint="eastAsia" w:cs="宋体" w:asciiTheme="minorEastAsia" w:hAnsiTheme="minorEastAsia"/>
          <w:kern w:val="0"/>
          <w:sz w:val="24"/>
          <w:szCs w:val="24"/>
        </w:rPr>
        <w:t>学院是在化学、化学工程与技术等领域内从事人才培养和科学技术研究的专门机构，化学学科进入国际ESI学科排名，跻身世界前</w:t>
      </w:r>
      <w:r>
        <w:rPr>
          <w:rFonts w:hint="eastAsia" w:ascii="宋体" w:hAnsi="宋体" w:eastAsia="宋体" w:cs="宋体"/>
          <w:kern w:val="0"/>
          <w:sz w:val="24"/>
          <w:szCs w:val="24"/>
        </w:rPr>
        <w:t>0.3%</w:t>
      </w:r>
      <w:r>
        <w:rPr>
          <w:rFonts w:hint="eastAsia" w:cs="宋体" w:asciiTheme="minorEastAsia" w:hAnsiTheme="minorEastAsia"/>
          <w:kern w:val="0"/>
          <w:sz w:val="24"/>
          <w:szCs w:val="24"/>
        </w:rPr>
        <w:t>行列。</w:t>
      </w:r>
      <w:r>
        <w:rPr>
          <w:rFonts w:hint="eastAsia" w:cs="Times New Roman" w:asciiTheme="minorEastAsia" w:hAnsiTheme="minorEastAsia"/>
          <w:sz w:val="24"/>
          <w:szCs w:val="24"/>
        </w:rPr>
        <w:t>学生毕业后可在科研机构、政府机关、化工、石油、轻工、环保、医药、能源、商检、化工贸易等行业从事科研、生产、管理和教学等工作。</w:t>
      </w:r>
    </w:p>
    <w:p>
      <w:pPr>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bCs/>
          <w:sz w:val="24"/>
          <w:szCs w:val="24"/>
        </w:rPr>
        <w:t>学院自建成以来，</w:t>
      </w:r>
      <w:r>
        <w:rPr>
          <w:rFonts w:cs="Lucida Sans Unicode" w:asciiTheme="minorEastAsia" w:hAnsiTheme="minorEastAsia"/>
          <w:sz w:val="24"/>
          <w:szCs w:val="24"/>
        </w:rPr>
        <w:t>遵循"引进与培养并举"的方针，加强青年教师队伍建设，在国内外选聘优秀人才，师资队伍水平稳步提高。</w:t>
      </w:r>
      <w:r>
        <w:rPr>
          <w:rFonts w:hint="eastAsia" w:cs="宋体" w:asciiTheme="minorEastAsia" w:hAnsiTheme="minorEastAsia"/>
          <w:bCs/>
          <w:sz w:val="24"/>
          <w:szCs w:val="24"/>
        </w:rPr>
        <w:t>学院现有教职工</w:t>
      </w:r>
      <w:r>
        <w:rPr>
          <w:rFonts w:hint="eastAsia" w:cs="宋体" w:asciiTheme="minorEastAsia" w:hAnsiTheme="minorEastAsia"/>
          <w:bCs/>
          <w:sz w:val="24"/>
          <w:szCs w:val="24"/>
          <w:lang w:val="en-US" w:eastAsia="zh-CN"/>
        </w:rPr>
        <w:t>108</w:t>
      </w:r>
      <w:r>
        <w:rPr>
          <w:rFonts w:hint="eastAsia" w:cs="宋体" w:asciiTheme="minorEastAsia" w:hAnsiTheme="minorEastAsia"/>
          <w:bCs/>
          <w:sz w:val="24"/>
          <w:szCs w:val="24"/>
        </w:rPr>
        <w:t>人，其中具有正高级职务的22人，副高级职务的49人。博士生导师</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rPr>
        <w:t>人，硕士生导师</w:t>
      </w:r>
      <w:r>
        <w:rPr>
          <w:rFonts w:hint="eastAsia" w:cs="宋体" w:asciiTheme="minorEastAsia" w:hAnsiTheme="minorEastAsia"/>
          <w:bCs/>
          <w:sz w:val="24"/>
          <w:szCs w:val="24"/>
          <w:lang w:val="en-US" w:eastAsia="zh-CN"/>
        </w:rPr>
        <w:t>51</w:t>
      </w:r>
      <w:r>
        <w:rPr>
          <w:rFonts w:hint="eastAsia" w:cs="宋体" w:asciiTheme="minorEastAsia" w:hAnsiTheme="minorEastAsia"/>
          <w:bCs/>
          <w:sz w:val="24"/>
          <w:szCs w:val="24"/>
        </w:rPr>
        <w:t>人。教师中含有中组部“千人计划”、</w:t>
      </w:r>
      <w:r>
        <w:rPr>
          <w:rFonts w:hint="eastAsia" w:cs="Helvetica" w:asciiTheme="minorEastAsia" w:hAnsiTheme="minorEastAsia"/>
          <w:sz w:val="24"/>
          <w:szCs w:val="24"/>
        </w:rPr>
        <w:t>“青年千人”</w:t>
      </w:r>
      <w:r>
        <w:rPr>
          <w:rFonts w:hint="eastAsia" w:cs="Helvetica" w:asciiTheme="minorEastAsia" w:hAnsiTheme="minorEastAsia"/>
          <w:sz w:val="24"/>
          <w:szCs w:val="24"/>
          <w:lang w:val="en-US" w:eastAsia="zh-CN"/>
        </w:rPr>
        <w:t>4</w:t>
      </w:r>
      <w:r>
        <w:rPr>
          <w:rFonts w:hint="eastAsia" w:cs="Helvetica" w:asciiTheme="minorEastAsia" w:hAnsiTheme="minorEastAsia"/>
          <w:sz w:val="24"/>
          <w:szCs w:val="24"/>
        </w:rPr>
        <w:t>人，江苏省特聘教授1人，</w:t>
      </w:r>
      <w:r>
        <w:rPr>
          <w:rFonts w:hint="eastAsia" w:cs="宋体" w:asciiTheme="minorEastAsia" w:hAnsiTheme="minorEastAsia"/>
          <w:bCs/>
          <w:sz w:val="24"/>
          <w:szCs w:val="24"/>
        </w:rPr>
        <w:t>江苏省“333工程”中青年科技领军人才和南京市有突出贡献的中青年专家1人，江苏省“青蓝工程”中青年学术带头人3人。</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asciiTheme="minorEastAsia" w:hAnsiTheme="minorEastAsia"/>
          <w:kern w:val="0"/>
          <w:sz w:val="24"/>
          <w:szCs w:val="24"/>
        </w:rPr>
        <w:t>在科学研究方面，</w:t>
      </w:r>
      <w:r>
        <w:rPr>
          <w:rFonts w:hint="eastAsia" w:asciiTheme="minorEastAsia" w:hAnsiTheme="minorEastAsia"/>
          <w:kern w:val="0"/>
          <w:sz w:val="24"/>
          <w:szCs w:val="24"/>
        </w:rPr>
        <w:t>我院</w:t>
      </w:r>
      <w:r>
        <w:rPr>
          <w:rFonts w:hint="eastAsia" w:cs="Times New Roman" w:asciiTheme="minorEastAsia" w:hAnsiTheme="minorEastAsia"/>
          <w:sz w:val="24"/>
          <w:szCs w:val="24"/>
        </w:rPr>
        <w:t>围绕国家和江苏省的创新经济需求，逐渐形成了绿色化学</w:t>
      </w:r>
      <w:r>
        <w:rPr>
          <w:rFonts w:hint="eastAsia" w:asciiTheme="minorEastAsia" w:hAnsiTheme="minorEastAsia"/>
          <w:sz w:val="24"/>
          <w:szCs w:val="24"/>
        </w:rPr>
        <w:t>、</w:t>
      </w:r>
      <w:r>
        <w:rPr>
          <w:rFonts w:hint="eastAsia" w:cs="Times New Roman" w:asciiTheme="minorEastAsia" w:hAnsiTheme="minorEastAsia"/>
          <w:sz w:val="24"/>
          <w:szCs w:val="24"/>
        </w:rPr>
        <w:t>分析物理化学、无机材料化学、化学生物、有机合成、催化合成、药物化学六个特色研究方向。</w:t>
      </w:r>
      <w:r>
        <w:rPr>
          <w:rFonts w:asciiTheme="minorEastAsia" w:hAnsiTheme="minorEastAsia"/>
          <w:kern w:val="0"/>
          <w:sz w:val="24"/>
          <w:szCs w:val="24"/>
        </w:rPr>
        <w:t>“十</w:t>
      </w:r>
      <w:r>
        <w:rPr>
          <w:rFonts w:hint="eastAsia" w:asciiTheme="minorEastAsia" w:hAnsiTheme="minorEastAsia"/>
          <w:kern w:val="0"/>
          <w:sz w:val="24"/>
          <w:szCs w:val="24"/>
        </w:rPr>
        <w:t>二</w:t>
      </w:r>
      <w:r>
        <w:rPr>
          <w:rFonts w:asciiTheme="minorEastAsia" w:hAnsiTheme="minorEastAsia"/>
          <w:kern w:val="0"/>
          <w:sz w:val="24"/>
          <w:szCs w:val="24"/>
        </w:rPr>
        <w:t>五”以来，</w:t>
      </w:r>
      <w:r>
        <w:rPr>
          <w:rFonts w:hint="eastAsia" w:asciiTheme="minorEastAsia" w:hAnsiTheme="minorEastAsia"/>
          <w:kern w:val="0"/>
          <w:sz w:val="24"/>
          <w:szCs w:val="24"/>
        </w:rPr>
        <w:t>学院</w:t>
      </w:r>
      <w:r>
        <w:rPr>
          <w:rFonts w:asciiTheme="minorEastAsia" w:hAnsiTheme="minorEastAsia"/>
          <w:kern w:val="0"/>
          <w:sz w:val="24"/>
          <w:szCs w:val="24"/>
        </w:rPr>
        <w:t>先后</w:t>
      </w:r>
      <w:r>
        <w:rPr>
          <w:rFonts w:hint="eastAsia" w:asciiTheme="minorEastAsia" w:hAnsiTheme="minorEastAsia"/>
          <w:kern w:val="0"/>
          <w:sz w:val="24"/>
          <w:szCs w:val="24"/>
        </w:rPr>
        <w:t>承担国家科技重大专项、</w:t>
      </w:r>
      <w:r>
        <w:rPr>
          <w:rFonts w:asciiTheme="minorEastAsia" w:hAnsiTheme="minorEastAsia"/>
          <w:kern w:val="0"/>
          <w:sz w:val="24"/>
          <w:szCs w:val="24"/>
        </w:rPr>
        <w:t>“863”计划课题、国家科技攻关、国家自然科学基金以及江苏省和石化总公司重点科技攻关等</w:t>
      </w:r>
      <w:r>
        <w:rPr>
          <w:rFonts w:hint="eastAsia" w:asciiTheme="minorEastAsia" w:hAnsiTheme="minorEastAsia"/>
          <w:kern w:val="0"/>
          <w:sz w:val="24"/>
          <w:szCs w:val="24"/>
        </w:rPr>
        <w:t>5</w:t>
      </w:r>
      <w:r>
        <w:rPr>
          <w:rFonts w:asciiTheme="minorEastAsia" w:hAnsiTheme="minorEastAsia"/>
          <w:kern w:val="0"/>
          <w:sz w:val="24"/>
          <w:szCs w:val="24"/>
        </w:rPr>
        <w:t>0余项</w:t>
      </w:r>
      <w:r>
        <w:rPr>
          <w:rFonts w:hint="eastAsia" w:asciiTheme="minorEastAsia" w:hAnsiTheme="minorEastAsia"/>
          <w:kern w:val="0"/>
          <w:sz w:val="24"/>
          <w:szCs w:val="24"/>
        </w:rPr>
        <w:t>，</w:t>
      </w:r>
      <w:r>
        <w:rPr>
          <w:rFonts w:asciiTheme="minorEastAsia" w:hAnsiTheme="minorEastAsia"/>
          <w:kern w:val="0"/>
          <w:sz w:val="24"/>
          <w:szCs w:val="24"/>
        </w:rPr>
        <w:t>横向科研项目100</w:t>
      </w:r>
      <w:r>
        <w:rPr>
          <w:rFonts w:hint="eastAsia" w:asciiTheme="minorEastAsia" w:hAnsiTheme="minorEastAsia"/>
          <w:kern w:val="0"/>
          <w:sz w:val="24"/>
          <w:szCs w:val="24"/>
        </w:rPr>
        <w:t>0</w:t>
      </w:r>
      <w:r>
        <w:rPr>
          <w:rFonts w:asciiTheme="minorEastAsia" w:hAnsiTheme="minorEastAsia"/>
          <w:kern w:val="0"/>
          <w:sz w:val="24"/>
          <w:szCs w:val="24"/>
        </w:rPr>
        <w:t>余项。获得国家科技进步二等奖1项、国家石油和化学工业协会科技发明奖</w:t>
      </w:r>
      <w:r>
        <w:rPr>
          <w:rFonts w:hint="eastAsia" w:asciiTheme="minorEastAsia" w:hAnsiTheme="minorEastAsia"/>
          <w:kern w:val="0"/>
          <w:sz w:val="24"/>
          <w:szCs w:val="24"/>
        </w:rPr>
        <w:t>、</w:t>
      </w:r>
      <w:r>
        <w:rPr>
          <w:rFonts w:asciiTheme="minorEastAsia" w:hAnsiTheme="minorEastAsia"/>
          <w:kern w:val="0"/>
          <w:sz w:val="24"/>
          <w:szCs w:val="24"/>
        </w:rPr>
        <w:t>科技进步奖</w:t>
      </w:r>
      <w:r>
        <w:rPr>
          <w:rFonts w:hint="eastAsia" w:asciiTheme="minorEastAsia" w:hAnsiTheme="minorEastAsia"/>
          <w:kern w:val="0"/>
          <w:sz w:val="24"/>
          <w:szCs w:val="24"/>
        </w:rPr>
        <w:t>、</w:t>
      </w:r>
      <w:r>
        <w:rPr>
          <w:rFonts w:asciiTheme="minorEastAsia" w:hAnsiTheme="minorEastAsia"/>
          <w:kern w:val="0"/>
          <w:sz w:val="24"/>
          <w:szCs w:val="24"/>
        </w:rPr>
        <w:t>江苏省科技进步奖</w:t>
      </w:r>
      <w:r>
        <w:rPr>
          <w:rFonts w:hint="eastAsia" w:asciiTheme="minorEastAsia" w:hAnsiTheme="minorEastAsia"/>
          <w:kern w:val="0"/>
          <w:sz w:val="24"/>
          <w:szCs w:val="24"/>
        </w:rPr>
        <w:t>等奖项</w:t>
      </w:r>
      <w:r>
        <w:rPr>
          <w:rFonts w:asciiTheme="minorEastAsia" w:hAnsiTheme="minorEastAsia"/>
          <w:kern w:val="0"/>
          <w:sz w:val="24"/>
          <w:szCs w:val="24"/>
        </w:rPr>
        <w:t>1</w:t>
      </w:r>
      <w:r>
        <w:rPr>
          <w:rFonts w:hint="eastAsia" w:asciiTheme="minorEastAsia" w:hAnsiTheme="minorEastAsia"/>
          <w:kern w:val="0"/>
          <w:sz w:val="24"/>
          <w:szCs w:val="24"/>
        </w:rPr>
        <w:t>0余</w:t>
      </w:r>
      <w:r>
        <w:rPr>
          <w:rFonts w:asciiTheme="minorEastAsia" w:hAnsiTheme="minorEastAsia"/>
          <w:kern w:val="0"/>
          <w:sz w:val="24"/>
          <w:szCs w:val="24"/>
        </w:rPr>
        <w:t>项，获得国内外授权专利</w:t>
      </w:r>
      <w:r>
        <w:rPr>
          <w:rFonts w:hint="eastAsia" w:asciiTheme="minorEastAsia" w:hAnsiTheme="minorEastAsia"/>
          <w:kern w:val="0"/>
          <w:sz w:val="24"/>
          <w:szCs w:val="24"/>
          <w:lang w:val="en-US" w:eastAsia="zh-CN"/>
        </w:rPr>
        <w:t>100</w:t>
      </w:r>
      <w:r>
        <w:rPr>
          <w:rFonts w:asciiTheme="minorEastAsia" w:hAnsiTheme="minorEastAsia"/>
          <w:kern w:val="0"/>
          <w:sz w:val="24"/>
          <w:szCs w:val="24"/>
        </w:rPr>
        <w:t>余件。在国内外学术刊物上发表SCI和EI论文500余篇</w:t>
      </w:r>
      <w:r>
        <w:rPr>
          <w:rFonts w:hint="eastAsia" w:ascii="宋体" w:hAnsi="宋体" w:eastAsia="宋体" w:cs="宋体"/>
          <w:sz w:val="24"/>
          <w:szCs w:val="24"/>
        </w:rPr>
        <w:t>。</w:t>
      </w:r>
    </w:p>
    <w:p>
      <w:pPr>
        <w:widowControl/>
        <w:adjustRightInd w:val="0"/>
        <w:snapToGrid w:val="0"/>
        <w:spacing w:line="360" w:lineRule="auto"/>
        <w:jc w:val="left"/>
        <w:rPr>
          <w:rFonts w:ascii="宋体" w:hAnsi="宋体" w:eastAsia="宋体" w:cs="宋体"/>
          <w:vanish/>
          <w:color w:val="000000"/>
          <w:kern w:val="0"/>
          <w:sz w:val="24"/>
          <w:szCs w:val="24"/>
        </w:rPr>
      </w:pPr>
    </w:p>
    <w:p>
      <w:pPr>
        <w:widowControl/>
        <w:adjustRightInd w:val="0"/>
        <w:snapToGrid w:val="0"/>
        <w:spacing w:line="360" w:lineRule="auto"/>
        <w:jc w:val="left"/>
        <w:rPr>
          <w:rFonts w:cs="宋体" w:asciiTheme="minorEastAsia" w:hAnsiTheme="minorEastAsia"/>
          <w:b/>
          <w:bCs/>
          <w:kern w:val="0"/>
          <w:sz w:val="24"/>
          <w:szCs w:val="24"/>
          <w:shd w:val="clear" w:color="auto" w:fill="FFFFFF"/>
        </w:rPr>
      </w:pPr>
      <w:r>
        <w:rPr>
          <w:rFonts w:hint="eastAsia" w:cs="宋体" w:asciiTheme="minorEastAsia" w:hAnsiTheme="minorEastAsia"/>
          <w:b/>
          <w:bCs/>
          <w:kern w:val="0"/>
          <w:sz w:val="24"/>
          <w:szCs w:val="24"/>
          <w:shd w:val="clear" w:color="auto" w:fill="FFFFFF"/>
        </w:rPr>
        <w:t>【招生计划】</w:t>
      </w: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1、招生人数</w:t>
      </w:r>
    </w:p>
    <w:p>
      <w:pPr>
        <w:widowControl/>
        <w:adjustRightInd w:val="0"/>
        <w:snapToGrid w:val="0"/>
        <w:spacing w:line="360" w:lineRule="auto"/>
        <w:jc w:val="left"/>
        <w:rPr>
          <w:rFonts w:cs="宋体" w:asciiTheme="minorEastAsia" w:hAnsiTheme="minorEastAsia"/>
          <w:b/>
          <w:bCs/>
          <w:kern w:val="0"/>
          <w:sz w:val="24"/>
          <w:szCs w:val="24"/>
          <w:shd w:val="clear" w:color="auto" w:fill="FFFFFF"/>
        </w:rPr>
      </w:pPr>
      <w:r>
        <w:rPr>
          <w:rFonts w:asciiTheme="minorEastAsia" w:hAnsiTheme="minorEastAsia"/>
          <w:sz w:val="24"/>
          <w:szCs w:val="24"/>
        </w:rPr>
        <w:t>见全国推免服务系统南京工业大学推免生接收专业目录中的学院拟招生数，实际招生数以最终录取人数为准。</w:t>
      </w: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2、招生专业</w:t>
      </w:r>
    </w:p>
    <w:p>
      <w:pPr>
        <w:widowControl/>
        <w:adjustRightInd w:val="0"/>
        <w:snapToGrid w:val="0"/>
        <w:spacing w:line="360" w:lineRule="auto"/>
        <w:jc w:val="left"/>
        <w:rPr>
          <w:rFonts w:asciiTheme="minorEastAsia" w:hAnsiTheme="minorEastAsia"/>
          <w:sz w:val="24"/>
          <w:szCs w:val="24"/>
        </w:rPr>
      </w:pPr>
      <w:r>
        <w:rPr>
          <w:rFonts w:hint="eastAsia" w:ascii="宋体" w:hAnsi="宋体" w:eastAsia="宋体" w:cs="Times New Roman"/>
          <w:b/>
          <w:sz w:val="24"/>
          <w:szCs w:val="24"/>
        </w:rPr>
        <w:t>070302</w:t>
      </w:r>
      <w:r>
        <w:rPr>
          <w:rFonts w:hint="eastAsia" w:asciiTheme="minorEastAsia" w:hAnsiTheme="minorEastAsia"/>
          <w:sz w:val="24"/>
          <w:szCs w:val="24"/>
        </w:rPr>
        <w:t>分析</w:t>
      </w:r>
      <w:r>
        <w:rPr>
          <w:rFonts w:asciiTheme="minorEastAsia" w:hAnsiTheme="minorEastAsia"/>
          <w:sz w:val="24"/>
          <w:szCs w:val="24"/>
        </w:rPr>
        <w:t>化学；</w:t>
      </w:r>
      <w:r>
        <w:rPr>
          <w:rFonts w:hint="eastAsia" w:ascii="宋体" w:hAnsi="宋体" w:eastAsia="宋体" w:cs="宋体"/>
          <w:b/>
          <w:spacing w:val="-12"/>
          <w:kern w:val="0"/>
          <w:sz w:val="24"/>
          <w:szCs w:val="24"/>
        </w:rPr>
        <w:t>070303</w:t>
      </w:r>
      <w:r>
        <w:rPr>
          <w:rFonts w:hint="eastAsia" w:asciiTheme="minorEastAsia" w:hAnsiTheme="minorEastAsia"/>
          <w:sz w:val="24"/>
          <w:szCs w:val="24"/>
        </w:rPr>
        <w:t>有机化学</w:t>
      </w:r>
      <w:r>
        <w:rPr>
          <w:rFonts w:asciiTheme="minorEastAsia" w:hAnsiTheme="minorEastAsia"/>
          <w:sz w:val="24"/>
          <w:szCs w:val="24"/>
        </w:rPr>
        <w:t>；</w:t>
      </w:r>
      <w:r>
        <w:rPr>
          <w:rFonts w:ascii="宋体" w:hAnsi="宋体" w:eastAsia="宋体" w:cs="宋体"/>
          <w:b/>
          <w:spacing w:val="-12"/>
          <w:kern w:val="0"/>
          <w:sz w:val="24"/>
          <w:szCs w:val="24"/>
        </w:rPr>
        <w:t>0703</w:t>
      </w:r>
      <w:r>
        <w:rPr>
          <w:rFonts w:hint="eastAsia" w:ascii="宋体" w:hAnsi="宋体" w:eastAsia="宋体" w:cs="宋体"/>
          <w:b/>
          <w:spacing w:val="-12"/>
          <w:kern w:val="0"/>
          <w:sz w:val="24"/>
          <w:szCs w:val="24"/>
        </w:rPr>
        <w:t>Z1</w:t>
      </w:r>
      <w:r>
        <w:rPr>
          <w:rFonts w:hint="eastAsia" w:asciiTheme="minorEastAsia" w:hAnsiTheme="minorEastAsia"/>
          <w:sz w:val="24"/>
          <w:szCs w:val="24"/>
        </w:rPr>
        <w:t>农药化学</w:t>
      </w:r>
      <w:r>
        <w:rPr>
          <w:rFonts w:asciiTheme="minorEastAsia" w:hAnsiTheme="minorEastAsia"/>
          <w:sz w:val="24"/>
          <w:szCs w:val="24"/>
        </w:rPr>
        <w:t>；</w:t>
      </w:r>
      <w:r>
        <w:rPr>
          <w:rFonts w:hint="eastAsia" w:ascii="宋体" w:hAnsi="宋体" w:eastAsia="宋体" w:cs="Times New Roman"/>
          <w:b/>
          <w:sz w:val="24"/>
          <w:szCs w:val="24"/>
        </w:rPr>
        <w:t>081704</w:t>
      </w:r>
      <w:r>
        <w:rPr>
          <w:rFonts w:hint="eastAsia" w:asciiTheme="minorEastAsia" w:hAnsiTheme="minorEastAsia"/>
          <w:sz w:val="24"/>
          <w:szCs w:val="24"/>
        </w:rPr>
        <w:t>应用化学</w:t>
      </w:r>
      <w:r>
        <w:rPr>
          <w:rFonts w:asciiTheme="minorEastAsia" w:hAnsiTheme="minorEastAsia"/>
          <w:sz w:val="24"/>
          <w:szCs w:val="24"/>
        </w:rPr>
        <w:t>；</w:t>
      </w:r>
      <w:r>
        <w:rPr>
          <w:rFonts w:hint="eastAsia" w:ascii="宋体" w:hAnsi="宋体" w:eastAsia="宋体" w:cs="Times New Roman"/>
          <w:b/>
          <w:sz w:val="24"/>
          <w:szCs w:val="24"/>
        </w:rPr>
        <w:t>0822Z2</w:t>
      </w:r>
      <w:r>
        <w:rPr>
          <w:rFonts w:hint="eastAsia" w:asciiTheme="minorEastAsia" w:hAnsiTheme="minorEastAsia"/>
          <w:sz w:val="24"/>
          <w:szCs w:val="24"/>
        </w:rPr>
        <w:t>资源科学与</w:t>
      </w:r>
      <w:r>
        <w:rPr>
          <w:rFonts w:asciiTheme="minorEastAsia" w:hAnsiTheme="minorEastAsia"/>
          <w:sz w:val="24"/>
          <w:szCs w:val="24"/>
        </w:rPr>
        <w:t>工程。</w:t>
      </w:r>
    </w:p>
    <w:p>
      <w:pPr>
        <w:widowControl/>
        <w:adjustRightInd w:val="0"/>
        <w:snapToGrid w:val="0"/>
        <w:spacing w:line="360" w:lineRule="auto"/>
        <w:jc w:val="left"/>
        <w:rPr>
          <w:rFonts w:cs="宋体" w:asciiTheme="minorEastAsia" w:hAnsiTheme="minorEastAsia"/>
          <w:b/>
          <w:bCs/>
          <w:kern w:val="0"/>
          <w:sz w:val="24"/>
          <w:szCs w:val="24"/>
          <w:shd w:val="clear" w:color="auto" w:fill="FFFFFF"/>
        </w:rPr>
      </w:pPr>
      <w:r>
        <w:rPr>
          <w:rFonts w:hint="eastAsia" w:cs="宋体" w:asciiTheme="minorEastAsia" w:hAnsiTheme="minorEastAsia"/>
          <w:b/>
          <w:bCs/>
          <w:kern w:val="0"/>
          <w:sz w:val="24"/>
          <w:szCs w:val="24"/>
          <w:shd w:val="clear" w:color="auto" w:fill="FFFFFF"/>
        </w:rPr>
        <w:t>【</w:t>
      </w:r>
      <w:r>
        <w:rPr>
          <w:rFonts w:hint="eastAsia" w:cs="宋体" w:asciiTheme="minorEastAsia" w:hAnsiTheme="minorEastAsia"/>
          <w:b/>
          <w:bCs/>
          <w:kern w:val="0"/>
          <w:sz w:val="24"/>
          <w:szCs w:val="24"/>
          <w:shd w:val="clear" w:color="auto" w:fill="FFFFFF"/>
          <w:lang w:val="en-US" w:eastAsia="zh-CN"/>
        </w:rPr>
        <w:t>接受推免生基本条件</w:t>
      </w:r>
      <w:r>
        <w:rPr>
          <w:rFonts w:hint="eastAsia" w:cs="宋体" w:asciiTheme="minorEastAsia" w:hAnsiTheme="minorEastAsia"/>
          <w:b/>
          <w:bCs/>
          <w:kern w:val="0"/>
          <w:sz w:val="24"/>
          <w:szCs w:val="24"/>
          <w:shd w:val="clear" w:color="auto" w:fill="FFFFFF"/>
        </w:rPr>
        <w:t>】</w:t>
      </w:r>
    </w:p>
    <w:p>
      <w:pPr>
        <w:pStyle w:val="2"/>
        <w:spacing w:line="345" w:lineRule="auto"/>
        <w:ind w:left="0" w:leftChars="0" w:right="208" w:firstLine="0" w:firstLineChars="0"/>
      </w:pPr>
      <w:r>
        <w:t>1、申请人应热爱祖国，拥护中国共产党的领导，拥护社会主义制度，遵纪守法，品德良好，具有服务国家服务人民的社会责任感；</w:t>
      </w:r>
    </w:p>
    <w:p>
      <w:pPr>
        <w:pStyle w:val="2"/>
        <w:spacing w:line="303" w:lineRule="exact"/>
        <w:ind w:left="0" w:leftChars="0" w:firstLine="0" w:firstLineChars="0"/>
      </w:pPr>
      <w:r>
        <w:t>2、申请人身体健康状况应符合教育部和我校规定的体检标准；</w:t>
      </w:r>
    </w:p>
    <w:p>
      <w:pPr>
        <w:pStyle w:val="2"/>
        <w:spacing w:before="131" w:line="345" w:lineRule="auto"/>
        <w:ind w:left="0" w:leftChars="0" w:right="330" w:firstLine="0" w:firstLineChars="0"/>
      </w:pPr>
      <w:r>
        <w:t>3</w:t>
      </w:r>
      <w:r>
        <w:rPr>
          <w:spacing w:val="-8"/>
        </w:rPr>
        <w:t xml:space="preserve">、申请人必须是 </w:t>
      </w:r>
      <w:r>
        <w:t>2019</w:t>
      </w:r>
      <w:r>
        <w:rPr>
          <w:spacing w:val="-9"/>
        </w:rPr>
        <w:t xml:space="preserve"> 年普通高等学校应届本科毕业生，且本科期间学习</w:t>
      </w:r>
      <w:r>
        <w:t>成绩优秀，专业成绩或综合成绩名列本专业前茅；</w:t>
      </w:r>
    </w:p>
    <w:p>
      <w:pPr>
        <w:spacing w:before="0" w:line="357" w:lineRule="exact"/>
        <w:ind w:right="0"/>
        <w:jc w:val="left"/>
        <w:rPr>
          <w:sz w:val="24"/>
        </w:rPr>
      </w:pPr>
      <w:r>
        <w:rPr>
          <w:rFonts w:hint="eastAsia" w:ascii="宋体" w:hAnsi="宋体" w:eastAsia="宋体" w:cs="宋体"/>
          <w:spacing w:val="-8"/>
          <w:sz w:val="24"/>
          <w:szCs w:val="24"/>
          <w:lang w:val="en-US" w:eastAsia="zh-CN"/>
        </w:rPr>
        <w:t>4</w:t>
      </w:r>
      <w:r>
        <w:rPr>
          <w:spacing w:val="-8"/>
        </w:rPr>
        <w:t>、</w:t>
      </w:r>
      <w:r>
        <w:rPr>
          <w:sz w:val="24"/>
        </w:rPr>
        <w:t>申请人须被推荐高校列入推免生名单（</w:t>
      </w:r>
      <w:r>
        <w:rPr>
          <w:rFonts w:hint="eastAsia" w:ascii="Microsoft JhengHei" w:eastAsia="Microsoft JhengHei"/>
          <w:b/>
          <w:sz w:val="24"/>
        </w:rPr>
        <w:t>占用申请者母校的推免指标</w:t>
      </w:r>
      <w:r>
        <w:rPr>
          <w:sz w:val="24"/>
        </w:rPr>
        <w:t>）；</w:t>
      </w:r>
    </w:p>
    <w:p>
      <w:pPr>
        <w:pStyle w:val="2"/>
        <w:spacing w:before="78"/>
        <w:ind w:left="0" w:leftChars="0" w:firstLine="0" w:firstLineChars="0"/>
      </w:pPr>
      <w:r>
        <w:t>5、申请人在本科学习期间未受过任何处罚或处分。</w:t>
      </w:r>
    </w:p>
    <w:p>
      <w:pPr>
        <w:pStyle w:val="2"/>
        <w:spacing w:before="134" w:line="343" w:lineRule="auto"/>
        <w:ind w:left="0" w:leftChars="0" w:right="206" w:firstLine="0" w:firstLineChars="0"/>
      </w:pPr>
      <w:r>
        <w:t>凡符合上述条件的2019 年普通高等学校应届本科毕业生均可申请我校推荐免试研究生。</w:t>
      </w:r>
    </w:p>
    <w:p>
      <w:pPr>
        <w:widowControl/>
        <w:adjustRightInd w:val="0"/>
        <w:snapToGrid w:val="0"/>
        <w:spacing w:line="360" w:lineRule="auto"/>
        <w:jc w:val="left"/>
        <w:rPr>
          <w:rFonts w:asciiTheme="minorEastAsia" w:hAnsiTheme="minorEastAsia"/>
          <w:sz w:val="24"/>
          <w:szCs w:val="24"/>
        </w:rPr>
      </w:pPr>
    </w:p>
    <w:p>
      <w:pPr>
        <w:widowControl/>
        <w:adjustRightInd w:val="0"/>
        <w:snapToGrid w:val="0"/>
        <w:spacing w:line="360" w:lineRule="auto"/>
        <w:jc w:val="left"/>
        <w:rPr>
          <w:rFonts w:cs="宋体" w:asciiTheme="minorEastAsia" w:hAnsiTheme="minorEastAsia"/>
          <w:b/>
          <w:bCs/>
          <w:kern w:val="0"/>
          <w:sz w:val="24"/>
          <w:szCs w:val="24"/>
          <w:shd w:val="clear" w:color="auto" w:fill="FFFFFF"/>
        </w:rPr>
      </w:pPr>
    </w:p>
    <w:p>
      <w:pPr>
        <w:widowControl/>
        <w:adjustRightInd w:val="0"/>
        <w:snapToGrid w:val="0"/>
        <w:spacing w:line="360" w:lineRule="auto"/>
        <w:jc w:val="left"/>
        <w:rPr>
          <w:rFonts w:cs="宋体" w:asciiTheme="minorEastAsia" w:hAnsiTheme="minorEastAsia"/>
          <w:b/>
          <w:kern w:val="0"/>
          <w:sz w:val="24"/>
          <w:szCs w:val="24"/>
        </w:rPr>
      </w:pPr>
      <w:r>
        <w:rPr>
          <w:rFonts w:hint="eastAsia" w:cs="宋体" w:asciiTheme="minorEastAsia" w:hAnsiTheme="minorEastAsia"/>
          <w:b/>
          <w:bCs/>
          <w:kern w:val="0"/>
          <w:sz w:val="24"/>
          <w:szCs w:val="24"/>
          <w:shd w:val="clear" w:color="auto" w:fill="FFFFFF"/>
        </w:rPr>
        <w:t>【复试安排】</w:t>
      </w:r>
    </w:p>
    <w:p>
      <w:pPr>
        <w:widowControl/>
        <w:shd w:val="clear" w:color="auto" w:fill="FFFFFF"/>
        <w:adjustRightInd w:val="0"/>
        <w:snapToGrid w:val="0"/>
        <w:spacing w:line="360" w:lineRule="auto"/>
        <w:jc w:val="left"/>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rPr>
        <w:t>1、复试时间：采用分批集中方式，具体时间由学院与报考学生协商</w:t>
      </w:r>
      <w:r>
        <w:rPr>
          <w:rFonts w:hint="eastAsia" w:cs="宋体" w:asciiTheme="minorEastAsia" w:hAnsiTheme="minorEastAsia"/>
          <w:bCs/>
          <w:kern w:val="0"/>
          <w:sz w:val="24"/>
          <w:szCs w:val="24"/>
          <w:lang w:eastAsia="zh-CN"/>
        </w:rPr>
        <w:t>，</w:t>
      </w:r>
      <w:r>
        <w:rPr>
          <w:rFonts w:hint="eastAsia" w:cs="宋体" w:asciiTheme="minorEastAsia" w:hAnsiTheme="minorEastAsia"/>
          <w:bCs/>
          <w:kern w:val="0"/>
          <w:sz w:val="24"/>
          <w:szCs w:val="24"/>
          <w:lang w:val="en-US" w:eastAsia="zh-CN"/>
        </w:rPr>
        <w:t>所有复试工作于2018年10月18日之前完成。</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2、复试地点：南京工业大学江浦校区笃行楼318会议室</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3、复试形式：面试成绩满分100分。</w:t>
      </w:r>
      <w:r>
        <w:rPr>
          <w:rFonts w:asciiTheme="minorEastAsia" w:hAnsiTheme="minorEastAsia"/>
          <w:sz w:val="24"/>
          <w:szCs w:val="24"/>
          <w:shd w:val="clear" w:color="auto" w:fill="FFFFFF"/>
        </w:rPr>
        <w:t>考察学生德、智、体、能、勤等多方面的综合素质，着重考察学生科研创新潜力，对学科的认识、学科知识的综合应用能力，考生知识背景等。</w:t>
      </w:r>
    </w:p>
    <w:p>
      <w:pPr>
        <w:widowControl/>
        <w:adjustRightInd w:val="0"/>
        <w:snapToGrid w:val="0"/>
        <w:spacing w:line="360" w:lineRule="auto"/>
        <w:jc w:val="left"/>
        <w:rPr>
          <w:rFonts w:cs="宋体" w:asciiTheme="minorEastAsia" w:hAnsiTheme="minorEastAsia"/>
          <w:kern w:val="0"/>
          <w:sz w:val="24"/>
          <w:szCs w:val="24"/>
        </w:rPr>
      </w:pPr>
    </w:p>
    <w:p>
      <w:pPr>
        <w:widowControl/>
        <w:adjustRightInd w:val="0"/>
        <w:snapToGrid w:val="0"/>
        <w:spacing w:line="360" w:lineRule="auto"/>
        <w:jc w:val="left"/>
        <w:rPr>
          <w:rFonts w:hint="eastAsia" w:cs="宋体" w:asciiTheme="minorEastAsia" w:hAnsiTheme="minorEastAsia"/>
          <w:b/>
          <w:bCs/>
          <w:kern w:val="0"/>
          <w:sz w:val="24"/>
          <w:szCs w:val="24"/>
          <w:shd w:val="clear" w:color="auto" w:fill="FFFFFF"/>
        </w:rPr>
      </w:pPr>
    </w:p>
    <w:p>
      <w:pPr>
        <w:widowControl/>
        <w:adjustRightInd w:val="0"/>
        <w:snapToGrid w:val="0"/>
        <w:spacing w:line="360" w:lineRule="auto"/>
        <w:jc w:val="left"/>
        <w:rPr>
          <w:rFonts w:hint="eastAsia" w:cs="宋体" w:asciiTheme="minorEastAsia" w:hAnsiTheme="minorEastAsia"/>
          <w:b/>
          <w:bCs/>
          <w:kern w:val="0"/>
          <w:sz w:val="24"/>
          <w:szCs w:val="24"/>
          <w:shd w:val="clear" w:color="auto" w:fill="FFFFFF"/>
        </w:rPr>
      </w:pPr>
    </w:p>
    <w:p>
      <w:pPr>
        <w:widowControl/>
        <w:adjustRightInd w:val="0"/>
        <w:snapToGrid w:val="0"/>
        <w:spacing w:line="360" w:lineRule="auto"/>
        <w:jc w:val="left"/>
        <w:rPr>
          <w:rFonts w:hint="eastAsia" w:cs="宋体" w:asciiTheme="minorEastAsia" w:hAnsiTheme="minorEastAsia"/>
          <w:b/>
          <w:bCs/>
          <w:kern w:val="0"/>
          <w:sz w:val="24"/>
          <w:szCs w:val="24"/>
          <w:shd w:val="clear" w:color="auto" w:fill="FFFFFF"/>
        </w:rPr>
      </w:pPr>
    </w:p>
    <w:p>
      <w:pPr>
        <w:widowControl/>
        <w:adjustRightInd w:val="0"/>
        <w:snapToGrid w:val="0"/>
        <w:spacing w:line="360" w:lineRule="auto"/>
        <w:jc w:val="left"/>
        <w:rPr>
          <w:rFonts w:cs="宋体" w:asciiTheme="minorEastAsia" w:hAnsiTheme="minorEastAsia"/>
          <w:b/>
          <w:kern w:val="0"/>
          <w:sz w:val="24"/>
          <w:szCs w:val="24"/>
        </w:rPr>
      </w:pPr>
      <w:r>
        <w:rPr>
          <w:rFonts w:hint="eastAsia" w:cs="宋体" w:asciiTheme="minorEastAsia" w:hAnsiTheme="minorEastAsia"/>
          <w:b/>
          <w:bCs/>
          <w:kern w:val="0"/>
          <w:sz w:val="24"/>
          <w:szCs w:val="24"/>
          <w:shd w:val="clear" w:color="auto" w:fill="FFFFFF"/>
        </w:rPr>
        <w:t>【录取原则】</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依据考生本科阶段学习以及复试情况综合考察，按复试成绩进行排序，择优录取。对于复试成绩（满分100分）低于60分者，视为复试不合格，不予录取。</w:t>
      </w:r>
    </w:p>
    <w:p>
      <w:pPr>
        <w:widowControl/>
        <w:adjustRightInd w:val="0"/>
        <w:snapToGrid w:val="0"/>
        <w:spacing w:line="360" w:lineRule="auto"/>
        <w:jc w:val="left"/>
        <w:rPr>
          <w:rFonts w:cs="宋体" w:asciiTheme="minorEastAsia" w:hAnsiTheme="minorEastAsia"/>
          <w:b/>
          <w:kern w:val="0"/>
          <w:sz w:val="24"/>
          <w:szCs w:val="24"/>
        </w:rPr>
      </w:pPr>
    </w:p>
    <w:p>
      <w:pPr>
        <w:widowControl/>
        <w:adjustRightInd w:val="0"/>
        <w:snapToGrid w:val="0"/>
        <w:spacing w:line="360" w:lineRule="auto"/>
        <w:jc w:val="left"/>
        <w:rPr>
          <w:rFonts w:cs="宋体" w:asciiTheme="minorEastAsia" w:hAnsiTheme="minorEastAsia"/>
          <w:b/>
          <w:kern w:val="0"/>
          <w:sz w:val="24"/>
          <w:szCs w:val="24"/>
        </w:rPr>
      </w:pPr>
      <w:r>
        <w:rPr>
          <w:rFonts w:hint="eastAsia" w:cs="宋体" w:asciiTheme="minorEastAsia" w:hAnsiTheme="minorEastAsia"/>
          <w:b/>
          <w:bCs/>
          <w:kern w:val="0"/>
          <w:sz w:val="24"/>
          <w:szCs w:val="24"/>
          <w:shd w:val="clear" w:color="auto" w:fill="FFFFFF"/>
        </w:rPr>
        <w:t>【相关材料】</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凡经教育部推免服务系统申请报考南京工业大学201</w:t>
      </w:r>
      <w:r>
        <w:rPr>
          <w:rFonts w:hint="eastAsia" w:cs="宋体" w:asciiTheme="minorEastAsia" w:hAnsiTheme="minorEastAsia"/>
          <w:bCs/>
          <w:kern w:val="0"/>
          <w:sz w:val="24"/>
          <w:szCs w:val="24"/>
          <w:lang w:val="en-US" w:eastAsia="zh-CN"/>
        </w:rPr>
        <w:t>9</w:t>
      </w:r>
      <w:r>
        <w:rPr>
          <w:rFonts w:hint="eastAsia" w:cs="宋体" w:asciiTheme="minorEastAsia" w:hAnsiTheme="minorEastAsia"/>
          <w:bCs/>
          <w:kern w:val="0"/>
          <w:sz w:val="24"/>
          <w:szCs w:val="24"/>
        </w:rPr>
        <w:t>年推免生的优秀应届本科生，需在复试时向我校提供以下申请材料：</w:t>
      </w:r>
    </w:p>
    <w:p>
      <w:pPr>
        <w:widowControl/>
        <w:adjustRightInd w:val="0"/>
        <w:snapToGrid w:val="0"/>
        <w:spacing w:line="360" w:lineRule="auto"/>
        <w:jc w:val="left"/>
        <w:rPr>
          <w:rFonts w:cs="宋体" w:asciiTheme="minorEastAsia" w:hAnsiTheme="minorEastAsia"/>
          <w:kern w:val="0"/>
          <w:sz w:val="24"/>
          <w:szCs w:val="24"/>
        </w:rPr>
      </w:pPr>
      <w:r>
        <w:rPr>
          <w:rFonts w:hint="eastAsia" w:cs="宋体" w:asciiTheme="minorEastAsia" w:hAnsiTheme="minorEastAsia"/>
          <w:bCs/>
          <w:kern w:val="0"/>
          <w:sz w:val="24"/>
          <w:szCs w:val="24"/>
          <w:shd w:val="clear" w:color="auto" w:fill="FFFFFF"/>
        </w:rPr>
        <w:t>1、本人学生证、身份证复印件；</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2、国家级外语考试成绩或合格证书复印件一份；</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3、有公开发表的学术论文、科研成果或获奖证书者，提供复印件一份；</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4、本科学习成绩单一份，要求加盖所在学校教务处公章（红章原件）。</w:t>
      </w:r>
    </w:p>
    <w:p>
      <w:pPr>
        <w:widowControl/>
        <w:shd w:val="clear" w:color="auto" w:fill="FFFFFF"/>
        <w:adjustRightInd w:val="0"/>
        <w:snapToGrid w:val="0"/>
        <w:spacing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材料整理及提交方式：所提供材料均采用A4纸大小（成绩单可按所在学校格式），申请材料均需在复试报到时递交所申请学院研究生</w:t>
      </w:r>
      <w:r>
        <w:rPr>
          <w:rFonts w:hint="eastAsia" w:cs="宋体" w:asciiTheme="minorEastAsia" w:hAnsiTheme="minorEastAsia"/>
          <w:bCs/>
          <w:kern w:val="0"/>
          <w:sz w:val="24"/>
          <w:szCs w:val="24"/>
          <w:lang w:val="en-US" w:eastAsia="zh-CN"/>
        </w:rPr>
        <w:t>辅导员</w:t>
      </w:r>
      <w:r>
        <w:rPr>
          <w:rFonts w:hint="eastAsia" w:cs="宋体" w:asciiTheme="minorEastAsia" w:hAnsiTheme="minorEastAsia"/>
          <w:bCs/>
          <w:kern w:val="0"/>
          <w:sz w:val="24"/>
          <w:szCs w:val="24"/>
        </w:rPr>
        <w:t>，一经收到，恕不退还。</w:t>
      </w:r>
    </w:p>
    <w:p>
      <w:pPr>
        <w:widowControl/>
        <w:adjustRightInd w:val="0"/>
        <w:snapToGrid w:val="0"/>
        <w:spacing w:line="360" w:lineRule="auto"/>
        <w:jc w:val="left"/>
        <w:rPr>
          <w:rFonts w:cs="宋体" w:asciiTheme="minorEastAsia" w:hAnsiTheme="minorEastAsia"/>
          <w:kern w:val="0"/>
          <w:sz w:val="24"/>
          <w:szCs w:val="24"/>
        </w:rPr>
      </w:pPr>
    </w:p>
    <w:p>
      <w:pPr>
        <w:widowControl/>
        <w:adjustRightInd w:val="0"/>
        <w:snapToGrid w:val="0"/>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【奖励政策】</w:t>
      </w:r>
    </w:p>
    <w:p>
      <w:pPr>
        <w:widowControl/>
        <w:adjustRightInd w:val="0"/>
        <w:snapToGrid w:val="0"/>
        <w:spacing w:line="360" w:lineRule="auto"/>
        <w:jc w:val="left"/>
        <w:rPr>
          <w:rFonts w:asciiTheme="minorEastAsia" w:hAnsiTheme="minorEastAsia"/>
          <w:b/>
          <w:sz w:val="24"/>
          <w:szCs w:val="24"/>
        </w:rPr>
      </w:pPr>
      <w:r>
        <w:rPr>
          <w:rFonts w:asciiTheme="minorEastAsia" w:hAnsiTheme="minorEastAsia"/>
          <w:b/>
          <w:sz w:val="24"/>
          <w:szCs w:val="24"/>
        </w:rPr>
        <w:t>1、学校奖励</w:t>
      </w:r>
    </w:p>
    <w:p>
      <w:pPr>
        <w:pStyle w:val="2"/>
        <w:spacing w:before="134" w:line="343" w:lineRule="auto"/>
        <w:ind w:left="0" w:leftChars="0" w:right="256" w:firstLine="0" w:firstLineChars="0"/>
      </w:pPr>
      <w:r>
        <w:rPr>
          <w:rFonts w:hint="eastAsia"/>
          <w:lang w:eastAsia="zh-CN"/>
        </w:rPr>
        <w:t>（</w:t>
      </w:r>
      <w:r>
        <w:t>1</w:t>
      </w:r>
      <w:r>
        <w:rPr>
          <w:rFonts w:hint="eastAsia"/>
          <w:lang w:eastAsia="zh-CN"/>
        </w:rPr>
        <w:t>）</w:t>
      </w:r>
      <w:r>
        <w:rPr>
          <w:spacing w:val="-6"/>
        </w:rPr>
        <w:t>、“校长特别奖学金”</w:t>
      </w:r>
      <w:r>
        <w:rPr>
          <w:spacing w:val="-5"/>
        </w:rPr>
        <w:t>（30000</w:t>
      </w:r>
      <w:r>
        <w:rPr>
          <w:spacing w:val="-28"/>
        </w:rPr>
        <w:t xml:space="preserve"> 元</w:t>
      </w:r>
      <w:r>
        <w:t>/人</w:t>
      </w:r>
      <w:r>
        <w:rPr>
          <w:spacing w:val="-16"/>
        </w:rPr>
        <w:t>）</w:t>
      </w:r>
      <w:r>
        <w:rPr>
          <w:spacing w:val="-5"/>
        </w:rPr>
        <w:t>：来自一流大学且录取类别为非定</w:t>
      </w:r>
      <w:r>
        <w:rPr>
          <w:spacing w:val="-2"/>
        </w:rPr>
        <w:t xml:space="preserve">向的全日制推免生；来自一流学科大学和本校本科阶段综合成绩排名前 </w:t>
      </w:r>
      <w:r>
        <w:t>3%且录取类别为非定向的全日制推免生入学后第一学年可获得；</w:t>
      </w:r>
    </w:p>
    <w:p>
      <w:pPr>
        <w:pStyle w:val="2"/>
        <w:spacing w:before="134" w:line="343" w:lineRule="auto"/>
        <w:ind w:left="0" w:leftChars="0" w:right="256" w:firstLine="0" w:firstLineChars="0"/>
      </w:pPr>
      <w:r>
        <w:rPr>
          <w:rFonts w:hint="eastAsia"/>
          <w:lang w:eastAsia="zh-CN"/>
        </w:rPr>
        <w:t>（</w:t>
      </w:r>
      <w:r>
        <w:t>2</w:t>
      </w:r>
      <w:r>
        <w:rPr>
          <w:rFonts w:hint="eastAsia"/>
          <w:lang w:eastAsia="zh-CN"/>
        </w:rPr>
        <w:t>）</w:t>
      </w:r>
      <w:r>
        <w:rPr>
          <w:spacing w:val="-8"/>
        </w:rPr>
        <w:t>、新生优秀奖学金一等奖</w:t>
      </w:r>
      <w:r>
        <w:t>（12000</w:t>
      </w:r>
      <w:r>
        <w:rPr>
          <w:spacing w:val="-30"/>
        </w:rPr>
        <w:t xml:space="preserve"> 元</w:t>
      </w:r>
      <w:r>
        <w:t>/人</w:t>
      </w:r>
      <w:r>
        <w:rPr>
          <w:spacing w:val="-28"/>
        </w:rPr>
        <w:t>）</w:t>
      </w:r>
      <w:r>
        <w:rPr>
          <w:spacing w:val="-7"/>
        </w:rPr>
        <w:t>：其他录取类别为非定向的全日</w:t>
      </w:r>
      <w:r>
        <w:t>制推免生（包括学术型和专业学位），入学后第一学年可获得。</w:t>
      </w:r>
    </w:p>
    <w:p>
      <w:pPr>
        <w:widowControl/>
        <w:adjustRightInd w:val="0"/>
        <w:snapToGrid w:val="0"/>
        <w:spacing w:line="360" w:lineRule="auto"/>
        <w:jc w:val="left"/>
        <w:rPr>
          <w:rFonts w:asciiTheme="minorEastAsia" w:hAnsiTheme="minorEastAsia"/>
          <w:sz w:val="24"/>
          <w:szCs w:val="24"/>
        </w:rPr>
      </w:pP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br w:type="textWrapping"/>
      </w:r>
      <w:r>
        <w:rPr>
          <w:rFonts w:asciiTheme="minorEastAsia" w:hAnsiTheme="minorEastAsia"/>
          <w:b/>
          <w:sz w:val="24"/>
          <w:szCs w:val="24"/>
        </w:rPr>
        <w:t>2、学院奖励</w:t>
      </w: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w:t>
      </w:r>
      <w:r>
        <w:rPr>
          <w:rFonts w:asciiTheme="minorEastAsia" w:hAnsiTheme="minorEastAsia"/>
          <w:sz w:val="24"/>
          <w:szCs w:val="24"/>
        </w:rPr>
        <w:t>）优先选择指导教师；</w:t>
      </w: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w:t>
      </w:r>
      <w:r>
        <w:rPr>
          <w:rFonts w:asciiTheme="minorEastAsia" w:hAnsiTheme="minorEastAsia"/>
          <w:sz w:val="24"/>
          <w:szCs w:val="24"/>
        </w:rPr>
        <w:t>）推免生可获得优先推荐硕博连读资格；</w:t>
      </w:r>
    </w:p>
    <w:p>
      <w:pPr>
        <w:widowControl/>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3</w:t>
      </w:r>
      <w:r>
        <w:rPr>
          <w:rFonts w:asciiTheme="minorEastAsia" w:hAnsiTheme="minorEastAsia"/>
          <w:sz w:val="24"/>
          <w:szCs w:val="24"/>
        </w:rPr>
        <w:t>）对科研能力强、申请到国外联合培养资格的博士生给予一定的补助经费</w:t>
      </w:r>
      <w:r>
        <w:rPr>
          <w:rFonts w:hint="eastAsia" w:asciiTheme="minorEastAsia" w:hAnsiTheme="minorEastAsia"/>
          <w:sz w:val="24"/>
          <w:szCs w:val="24"/>
        </w:rPr>
        <w:t>。</w:t>
      </w:r>
    </w:p>
    <w:p>
      <w:pPr>
        <w:widowControl/>
        <w:shd w:val="clear" w:color="auto" w:fill="FFFFFF"/>
        <w:adjustRightInd w:val="0"/>
        <w:snapToGrid w:val="0"/>
        <w:spacing w:line="360" w:lineRule="auto"/>
        <w:jc w:val="left"/>
        <w:rPr>
          <w:rFonts w:cs="宋体" w:asciiTheme="minorEastAsia" w:hAnsiTheme="minorEastAsia"/>
          <w:b/>
          <w:bCs/>
          <w:kern w:val="0"/>
          <w:sz w:val="24"/>
          <w:szCs w:val="24"/>
        </w:rPr>
      </w:pPr>
    </w:p>
    <w:p>
      <w:pPr>
        <w:widowControl/>
        <w:shd w:val="clear" w:color="auto" w:fill="FFFFFF"/>
        <w:adjustRightInd w:val="0"/>
        <w:snapToGrid w:val="0"/>
        <w:spacing w:line="360" w:lineRule="auto"/>
        <w:jc w:val="left"/>
        <w:rPr>
          <w:rFonts w:cs="宋体" w:asciiTheme="minorEastAsia" w:hAnsiTheme="minorEastAsia"/>
          <w:b/>
          <w:kern w:val="0"/>
          <w:sz w:val="24"/>
          <w:szCs w:val="24"/>
        </w:rPr>
      </w:pPr>
      <w:r>
        <w:rPr>
          <w:rFonts w:hint="eastAsia" w:cs="宋体" w:asciiTheme="minorEastAsia" w:hAnsiTheme="minorEastAsia"/>
          <w:b/>
          <w:bCs/>
          <w:kern w:val="0"/>
          <w:sz w:val="24"/>
          <w:szCs w:val="24"/>
        </w:rPr>
        <w:t>【联系我们】</w:t>
      </w:r>
    </w:p>
    <w:p>
      <w:pPr>
        <w:widowControl/>
        <w:shd w:val="clear" w:color="auto" w:fill="FFFFFF"/>
        <w:adjustRightInd w:val="0"/>
        <w:snapToGrid w:val="0"/>
        <w:spacing w:line="360" w:lineRule="auto"/>
        <w:jc w:val="left"/>
        <w:rPr>
          <w:rFonts w:cs="宋体" w:asciiTheme="minorEastAsia" w:hAnsiTheme="minorEastAsia"/>
          <w:kern w:val="0"/>
          <w:sz w:val="24"/>
          <w:szCs w:val="24"/>
        </w:rPr>
      </w:pPr>
      <w:r>
        <w:rPr>
          <w:rFonts w:hint="eastAsia" w:cs="宋体" w:asciiTheme="minorEastAsia" w:hAnsiTheme="minorEastAsia"/>
          <w:bCs/>
          <w:kern w:val="0"/>
          <w:sz w:val="24"/>
          <w:szCs w:val="24"/>
        </w:rPr>
        <w:t>请有意向的推免生及时与我院研究生管理办公室取得联系，协商复试时间。</w:t>
      </w:r>
    </w:p>
    <w:p>
      <w:pPr>
        <w:widowControl/>
        <w:shd w:val="clear" w:color="auto" w:fill="FFFFFF"/>
        <w:adjustRightInd w:val="0"/>
        <w:snapToGrid w:val="0"/>
        <w:spacing w:line="360" w:lineRule="auto"/>
        <w:jc w:val="left"/>
        <w:rPr>
          <w:rFonts w:cs="宋体" w:asciiTheme="minorEastAsia" w:hAnsiTheme="minorEastAsia"/>
          <w:kern w:val="0"/>
          <w:sz w:val="24"/>
          <w:szCs w:val="24"/>
        </w:rPr>
      </w:pPr>
      <w:r>
        <w:rPr>
          <w:rFonts w:hint="eastAsia" w:cs="宋体" w:asciiTheme="minorEastAsia" w:hAnsiTheme="minorEastAsia"/>
          <w:bCs/>
          <w:kern w:val="0"/>
          <w:sz w:val="24"/>
          <w:szCs w:val="24"/>
        </w:rPr>
        <w:t>电话：025-5813953</w:t>
      </w:r>
      <w:r>
        <w:rPr>
          <w:rFonts w:hint="eastAsia" w:cs="宋体" w:asciiTheme="minorEastAsia" w:hAnsiTheme="minorEastAsia"/>
          <w:bCs/>
          <w:kern w:val="0"/>
          <w:sz w:val="24"/>
          <w:szCs w:val="24"/>
          <w:lang w:val="en-US" w:eastAsia="zh-CN"/>
        </w:rPr>
        <w:t>5</w:t>
      </w:r>
      <w:r>
        <w:rPr>
          <w:rFonts w:hint="eastAsia" w:cs="宋体" w:asciiTheme="minorEastAsia" w:hAnsiTheme="minorEastAsia"/>
          <w:bCs/>
          <w:kern w:val="0"/>
          <w:sz w:val="24"/>
          <w:szCs w:val="24"/>
        </w:rPr>
        <w:t xml:space="preserve"> </w:t>
      </w:r>
      <w:r>
        <w:rPr>
          <w:rFonts w:hint="eastAsia" w:cs="宋体" w:asciiTheme="minorEastAsia" w:hAnsiTheme="minorEastAsia"/>
          <w:bCs/>
          <w:kern w:val="0"/>
          <w:sz w:val="24"/>
          <w:szCs w:val="24"/>
          <w:lang w:val="en-US" w:eastAsia="zh-CN"/>
        </w:rPr>
        <w:t>蒋</w:t>
      </w:r>
      <w:r>
        <w:rPr>
          <w:rFonts w:hint="eastAsia" w:cs="宋体" w:asciiTheme="minorEastAsia" w:hAnsiTheme="minorEastAsia"/>
          <w:bCs/>
          <w:kern w:val="0"/>
          <w:sz w:val="24"/>
          <w:szCs w:val="24"/>
        </w:rPr>
        <w:t>老师</w:t>
      </w:r>
      <w:r>
        <w:rPr>
          <w:rFonts w:hint="eastAsia" w:cs="宋体" w:asciiTheme="minorEastAsia" w:hAnsiTheme="minorEastAsia"/>
          <w:kern w:val="0"/>
          <w:sz w:val="24"/>
          <w:szCs w:val="24"/>
        </w:rPr>
        <w:t xml:space="preserve"> </w:t>
      </w:r>
    </w:p>
    <w:p>
      <w:pPr>
        <w:widowControl/>
        <w:shd w:val="clear" w:color="auto" w:fill="FFFFFF"/>
        <w:adjustRightInd w:val="0"/>
        <w:snapToGrid w:val="0"/>
        <w:spacing w:line="360" w:lineRule="auto"/>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bCs/>
          <w:kern w:val="0"/>
          <w:sz w:val="24"/>
          <w:szCs w:val="24"/>
        </w:rPr>
        <w:t>电子邮箱：</w:t>
      </w:r>
      <w:r>
        <w:rPr>
          <w:rFonts w:hint="eastAsia" w:cs="宋体" w:asciiTheme="minorEastAsia" w:hAnsiTheme="minorEastAsia"/>
          <w:bCs/>
          <w:kern w:val="0"/>
          <w:sz w:val="24"/>
          <w:szCs w:val="24"/>
          <w:lang w:val="en-US" w:eastAsia="zh-CN"/>
        </w:rPr>
        <w:t>jwylsq@126.com</w:t>
      </w: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hint="eastAsia" w:cs="宋体" w:asciiTheme="minorEastAsia" w:hAnsiTheme="minorEastAsia"/>
          <w:color w:val="000000"/>
          <w:kern w:val="0"/>
          <w:sz w:val="24"/>
          <w:szCs w:val="24"/>
        </w:rPr>
      </w:pPr>
    </w:p>
    <w:p>
      <w:pPr>
        <w:widowControl/>
        <w:adjustRightInd w:val="0"/>
        <w:snapToGrid w:val="0"/>
        <w:spacing w:line="360" w:lineRule="auto"/>
        <w:jc w:val="left"/>
        <w:rPr>
          <w:rFonts w:cs="宋体" w:asciiTheme="minorEastAsia" w:hAnsiTheme="minorEastAsia"/>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A1"/>
    <w:rsid w:val="000C3E5A"/>
    <w:rsid w:val="000E5A8D"/>
    <w:rsid w:val="00134A97"/>
    <w:rsid w:val="0018566E"/>
    <w:rsid w:val="00255501"/>
    <w:rsid w:val="003A6B97"/>
    <w:rsid w:val="003D2527"/>
    <w:rsid w:val="00437FD8"/>
    <w:rsid w:val="00474897"/>
    <w:rsid w:val="0048723E"/>
    <w:rsid w:val="005216BB"/>
    <w:rsid w:val="00543706"/>
    <w:rsid w:val="005F0C0A"/>
    <w:rsid w:val="006427A1"/>
    <w:rsid w:val="00727867"/>
    <w:rsid w:val="007A7B6A"/>
    <w:rsid w:val="007D7962"/>
    <w:rsid w:val="008033C1"/>
    <w:rsid w:val="0083363B"/>
    <w:rsid w:val="008A6DCF"/>
    <w:rsid w:val="00905A45"/>
    <w:rsid w:val="00A97FF9"/>
    <w:rsid w:val="00BC3A99"/>
    <w:rsid w:val="00D22FA7"/>
    <w:rsid w:val="00E54966"/>
    <w:rsid w:val="00F84664"/>
    <w:rsid w:val="02872C5C"/>
    <w:rsid w:val="03E01329"/>
    <w:rsid w:val="048932C3"/>
    <w:rsid w:val="04E92E8F"/>
    <w:rsid w:val="05CF1282"/>
    <w:rsid w:val="07422345"/>
    <w:rsid w:val="077C670E"/>
    <w:rsid w:val="08071F95"/>
    <w:rsid w:val="09844707"/>
    <w:rsid w:val="09C34141"/>
    <w:rsid w:val="09DB159D"/>
    <w:rsid w:val="09EC09FE"/>
    <w:rsid w:val="0A1E41C6"/>
    <w:rsid w:val="0A99228C"/>
    <w:rsid w:val="0AE73033"/>
    <w:rsid w:val="0C4D7A5D"/>
    <w:rsid w:val="0CCB027E"/>
    <w:rsid w:val="0E864230"/>
    <w:rsid w:val="0E98434C"/>
    <w:rsid w:val="0E9B26EB"/>
    <w:rsid w:val="0F1D670D"/>
    <w:rsid w:val="0FA14AC8"/>
    <w:rsid w:val="0FF42EEA"/>
    <w:rsid w:val="10692A60"/>
    <w:rsid w:val="10851E4A"/>
    <w:rsid w:val="10D87F53"/>
    <w:rsid w:val="126E3669"/>
    <w:rsid w:val="130A0B5C"/>
    <w:rsid w:val="13624870"/>
    <w:rsid w:val="139405D7"/>
    <w:rsid w:val="13D97209"/>
    <w:rsid w:val="13ED50A3"/>
    <w:rsid w:val="14A93EC0"/>
    <w:rsid w:val="152E017D"/>
    <w:rsid w:val="15C423FA"/>
    <w:rsid w:val="15D76266"/>
    <w:rsid w:val="166B40A4"/>
    <w:rsid w:val="16C61048"/>
    <w:rsid w:val="17891403"/>
    <w:rsid w:val="178F6AB7"/>
    <w:rsid w:val="179E7FEB"/>
    <w:rsid w:val="17A96249"/>
    <w:rsid w:val="1801593A"/>
    <w:rsid w:val="18173460"/>
    <w:rsid w:val="18FA7CB0"/>
    <w:rsid w:val="19BE6C07"/>
    <w:rsid w:val="1A0542EC"/>
    <w:rsid w:val="1BFB5794"/>
    <w:rsid w:val="1C6A783C"/>
    <w:rsid w:val="1C797BD7"/>
    <w:rsid w:val="1C883AA2"/>
    <w:rsid w:val="1D7F7B05"/>
    <w:rsid w:val="1DFB6010"/>
    <w:rsid w:val="1E760A67"/>
    <w:rsid w:val="20B4165C"/>
    <w:rsid w:val="22242CE1"/>
    <w:rsid w:val="22296E4A"/>
    <w:rsid w:val="223604DA"/>
    <w:rsid w:val="227A320A"/>
    <w:rsid w:val="22CD25A8"/>
    <w:rsid w:val="236B5E25"/>
    <w:rsid w:val="24DD579B"/>
    <w:rsid w:val="24DF0AC4"/>
    <w:rsid w:val="250F5A37"/>
    <w:rsid w:val="25197817"/>
    <w:rsid w:val="25BE0A60"/>
    <w:rsid w:val="25D37A8A"/>
    <w:rsid w:val="26466A4C"/>
    <w:rsid w:val="26597163"/>
    <w:rsid w:val="268623E1"/>
    <w:rsid w:val="26DE34D3"/>
    <w:rsid w:val="28092009"/>
    <w:rsid w:val="289A0252"/>
    <w:rsid w:val="28AA429D"/>
    <w:rsid w:val="28B27172"/>
    <w:rsid w:val="28CF5115"/>
    <w:rsid w:val="28FA178A"/>
    <w:rsid w:val="29361A27"/>
    <w:rsid w:val="297808E5"/>
    <w:rsid w:val="2978670E"/>
    <w:rsid w:val="2BA0235C"/>
    <w:rsid w:val="2C396424"/>
    <w:rsid w:val="2DC3308F"/>
    <w:rsid w:val="3000119D"/>
    <w:rsid w:val="31376B65"/>
    <w:rsid w:val="31E96619"/>
    <w:rsid w:val="320B66C1"/>
    <w:rsid w:val="327220BC"/>
    <w:rsid w:val="32B344DC"/>
    <w:rsid w:val="32DC2470"/>
    <w:rsid w:val="32E56C9C"/>
    <w:rsid w:val="32FF1DE1"/>
    <w:rsid w:val="34977F25"/>
    <w:rsid w:val="362A7DFA"/>
    <w:rsid w:val="38C12FA0"/>
    <w:rsid w:val="392412C1"/>
    <w:rsid w:val="39272C53"/>
    <w:rsid w:val="3ACC34B4"/>
    <w:rsid w:val="3AF74E7B"/>
    <w:rsid w:val="3B6C09CF"/>
    <w:rsid w:val="3C5C1EB3"/>
    <w:rsid w:val="3CF67D1D"/>
    <w:rsid w:val="3CFC01D0"/>
    <w:rsid w:val="3E484C98"/>
    <w:rsid w:val="3EEC11F7"/>
    <w:rsid w:val="41E15CB1"/>
    <w:rsid w:val="439A1C67"/>
    <w:rsid w:val="44242892"/>
    <w:rsid w:val="44DD512C"/>
    <w:rsid w:val="450915EE"/>
    <w:rsid w:val="457175F3"/>
    <w:rsid w:val="49037B4A"/>
    <w:rsid w:val="496C5858"/>
    <w:rsid w:val="49787A99"/>
    <w:rsid w:val="4A502C1B"/>
    <w:rsid w:val="4A6819EC"/>
    <w:rsid w:val="4ABB4B48"/>
    <w:rsid w:val="4B796D69"/>
    <w:rsid w:val="4C920E27"/>
    <w:rsid w:val="4D5D7FF9"/>
    <w:rsid w:val="4DBF07E2"/>
    <w:rsid w:val="4E19570D"/>
    <w:rsid w:val="4E71106E"/>
    <w:rsid w:val="4F863C06"/>
    <w:rsid w:val="50A17294"/>
    <w:rsid w:val="50D7211E"/>
    <w:rsid w:val="517E51E7"/>
    <w:rsid w:val="51D56CB6"/>
    <w:rsid w:val="53332F53"/>
    <w:rsid w:val="53683DEE"/>
    <w:rsid w:val="551B5811"/>
    <w:rsid w:val="555D2DA5"/>
    <w:rsid w:val="563F5063"/>
    <w:rsid w:val="567E4A9C"/>
    <w:rsid w:val="57BA479F"/>
    <w:rsid w:val="580E6C8D"/>
    <w:rsid w:val="58BA451E"/>
    <w:rsid w:val="59423116"/>
    <w:rsid w:val="59BA4FBD"/>
    <w:rsid w:val="59BB1517"/>
    <w:rsid w:val="5AB42F71"/>
    <w:rsid w:val="5BE23208"/>
    <w:rsid w:val="5C9675DA"/>
    <w:rsid w:val="5DDB63F7"/>
    <w:rsid w:val="5E7E40D6"/>
    <w:rsid w:val="5F1D76D1"/>
    <w:rsid w:val="5F302B2D"/>
    <w:rsid w:val="604741CC"/>
    <w:rsid w:val="61531A20"/>
    <w:rsid w:val="631A3549"/>
    <w:rsid w:val="634D1EC2"/>
    <w:rsid w:val="640065AF"/>
    <w:rsid w:val="64C0645E"/>
    <w:rsid w:val="66131B0F"/>
    <w:rsid w:val="665E539C"/>
    <w:rsid w:val="66940670"/>
    <w:rsid w:val="66C078EF"/>
    <w:rsid w:val="66CD560A"/>
    <w:rsid w:val="676675FD"/>
    <w:rsid w:val="67784399"/>
    <w:rsid w:val="67DE2607"/>
    <w:rsid w:val="69674B96"/>
    <w:rsid w:val="697A6BC5"/>
    <w:rsid w:val="69E75A5F"/>
    <w:rsid w:val="6A7A45B2"/>
    <w:rsid w:val="6A82445E"/>
    <w:rsid w:val="6A8D17E9"/>
    <w:rsid w:val="6AD87003"/>
    <w:rsid w:val="6BB251FE"/>
    <w:rsid w:val="6C5B6160"/>
    <w:rsid w:val="6CBA2956"/>
    <w:rsid w:val="6CBE6BD4"/>
    <w:rsid w:val="6DE06139"/>
    <w:rsid w:val="6F3E2044"/>
    <w:rsid w:val="70B51D35"/>
    <w:rsid w:val="70FA4956"/>
    <w:rsid w:val="71C844A4"/>
    <w:rsid w:val="72637133"/>
    <w:rsid w:val="72A114A9"/>
    <w:rsid w:val="73606864"/>
    <w:rsid w:val="73A1697E"/>
    <w:rsid w:val="73FF568E"/>
    <w:rsid w:val="75F847C1"/>
    <w:rsid w:val="76AA5094"/>
    <w:rsid w:val="776100D7"/>
    <w:rsid w:val="77BB17F0"/>
    <w:rsid w:val="78F84282"/>
    <w:rsid w:val="79264860"/>
    <w:rsid w:val="7AE03238"/>
    <w:rsid w:val="7B680105"/>
    <w:rsid w:val="7BB17EA7"/>
    <w:rsid w:val="7BD07A7C"/>
    <w:rsid w:val="7C1E322C"/>
    <w:rsid w:val="7C692AD1"/>
    <w:rsid w:val="7C84312F"/>
    <w:rsid w:val="7C9966A5"/>
    <w:rsid w:val="7D181880"/>
    <w:rsid w:val="7D4C720B"/>
    <w:rsid w:val="7D817EDA"/>
    <w:rsid w:val="7DDC3AC0"/>
    <w:rsid w:val="7E1850D5"/>
    <w:rsid w:val="7EDD1DCD"/>
    <w:rsid w:val="7EEC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4"/>
      <w:szCs w:val="24"/>
      <w:lang w:val="zh-CN" w:eastAsia="zh-CN" w:bidi="zh-CN"/>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uiPriority w:val="0"/>
    <w:rPr>
      <w:color w:val="0000FF"/>
      <w:u w:val="single"/>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paragraph" w:styleId="13">
    <w:name w:val="List Paragraph"/>
    <w:basedOn w:val="1"/>
    <w:qFormat/>
    <w:uiPriority w:val="34"/>
    <w:pPr>
      <w:ind w:firstLine="420" w:firstLineChars="200"/>
    </w:pPr>
  </w:style>
  <w:style w:type="character" w:customStyle="1" w:styleId="14">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704</Words>
  <Characters>4014</Characters>
  <Lines>33</Lines>
  <Paragraphs>9</Paragraphs>
  <TotalTime>61</TotalTime>
  <ScaleCrop>false</ScaleCrop>
  <LinksUpToDate>false</LinksUpToDate>
  <CharactersWithSpaces>4709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2016-09-22T03:13:00Z</dcterms:created>
  <dc:creator>lenovo</dc:creator>
  <cp:lastModifiedBy>john</cp:lastModifiedBy>
  <dcterms:modified xsi:type="dcterms:W3CDTF">2018-09-25T05:31:08Z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